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ECDD" w14:textId="646ED3C0" w:rsidR="002560C0" w:rsidRDefault="002560C0" w:rsidP="003E77C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8510C9" wp14:editId="751BB5D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28800" cy="809625"/>
            <wp:effectExtent l="0" t="0" r="0" b="0"/>
            <wp:wrapSquare wrapText="bothSides"/>
            <wp:docPr id="2" name="Picture 2" descr="Logo: NSITE - A Vision for Ta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NSITE - A Vision for Tal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8646"/>
                    <a:stretch/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6F5777" w14:textId="2D20F54A" w:rsidR="00831798" w:rsidRPr="003E77C0" w:rsidRDefault="003E77C0" w:rsidP="003E77C0">
      <w:pPr>
        <w:jc w:val="center"/>
        <w:rPr>
          <w:b/>
          <w:bCs/>
          <w:sz w:val="28"/>
          <w:szCs w:val="28"/>
        </w:rPr>
      </w:pPr>
      <w:r w:rsidRPr="003E77C0">
        <w:rPr>
          <w:b/>
          <w:bCs/>
          <w:sz w:val="28"/>
          <w:szCs w:val="28"/>
        </w:rPr>
        <w:t>NSITE’s CMS 101 Program Roadmap 202</w:t>
      </w:r>
      <w:r w:rsidR="002B206A">
        <w:rPr>
          <w:b/>
          <w:bCs/>
          <w:sz w:val="28"/>
          <w:szCs w:val="28"/>
        </w:rPr>
        <w:t>5</w:t>
      </w:r>
    </w:p>
    <w:tbl>
      <w:tblPr>
        <w:tblW w:w="101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726"/>
        <w:gridCol w:w="7560"/>
      </w:tblGrid>
      <w:tr w:rsidR="003E77C0" w14:paraId="0DF1BA33" w14:textId="77777777" w:rsidTr="003E77C0">
        <w:trPr>
          <w:tblHeader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0313" w14:textId="77777777" w:rsidR="003E77C0" w:rsidRPr="003E77C0" w:rsidRDefault="003E77C0" w:rsidP="003E77C0">
            <w:pPr>
              <w:spacing w:after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3E77C0">
              <w:rPr>
                <w:b/>
                <w:bCs/>
                <w:color w:val="FFFFFF"/>
                <w:sz w:val="24"/>
                <w:szCs w:val="24"/>
                <w14:ligatures w14:val="none"/>
              </w:rPr>
              <w:t>Week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CFCF" w14:textId="77777777" w:rsidR="003E77C0" w:rsidRPr="003E77C0" w:rsidRDefault="003E77C0" w:rsidP="003E77C0">
            <w:pPr>
              <w:spacing w:after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3E77C0">
              <w:rPr>
                <w:b/>
                <w:bCs/>
                <w:color w:val="FFFFFF"/>
                <w:sz w:val="24"/>
                <w:szCs w:val="24"/>
                <w14:ligatures w14:val="none"/>
              </w:rPr>
              <w:t>Course Code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2539" w14:textId="77777777" w:rsidR="003E77C0" w:rsidRPr="003E77C0" w:rsidRDefault="003E77C0" w:rsidP="003E77C0">
            <w:pPr>
              <w:spacing w:after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3E77C0">
              <w:rPr>
                <w:b/>
                <w:bCs/>
                <w:color w:val="FFFFFF"/>
                <w:sz w:val="24"/>
                <w:szCs w:val="24"/>
                <w14:ligatures w14:val="none"/>
              </w:rPr>
              <w:t>Course Title and Curriculum</w:t>
            </w:r>
          </w:p>
        </w:tc>
      </w:tr>
      <w:tr w:rsidR="003E77C0" w14:paraId="566C12C3" w14:textId="77777777" w:rsidTr="003E77C0"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FCBD" w14:textId="77777777" w:rsidR="003E77C0" w:rsidRDefault="003E77C0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99B5" w14:textId="77777777" w:rsidR="003E77C0" w:rsidRDefault="003E77C0">
            <w:pPr>
              <w:rPr>
                <w14:ligatures w14:val="none"/>
              </w:rPr>
            </w:pPr>
            <w:r>
              <w:rPr>
                <w14:ligatures w14:val="none"/>
              </w:rPr>
              <w:t>DAU: CON 0140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6D53" w14:textId="77777777" w:rsidR="003E77C0" w:rsidRDefault="003E77C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Prerequisite: Defense Acquisition University (DAU) Course: Introduction to Contract Management Support</w:t>
            </w:r>
          </w:p>
          <w:p w14:paraId="73DBE84F" w14:textId="77777777" w:rsidR="003E77C0" w:rsidRDefault="003E77C0">
            <w:pPr>
              <w:rPr>
                <w14:ligatures w14:val="none"/>
              </w:rPr>
            </w:pPr>
            <w:r>
              <w:rPr>
                <w14:ligatures w14:val="none"/>
              </w:rPr>
              <w:t>Enrollment through NSITE into this self-paced introductory course offered by DAU.</w:t>
            </w:r>
          </w:p>
        </w:tc>
      </w:tr>
      <w:tr w:rsidR="003E77C0" w14:paraId="6E016473" w14:textId="77777777" w:rsidTr="003E77C0"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AA9E" w14:textId="77777777" w:rsidR="003E77C0" w:rsidRDefault="003E77C0">
            <w:pPr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38D4" w14:textId="77777777" w:rsidR="003E77C0" w:rsidRDefault="003E77C0">
            <w:pPr>
              <w:rPr>
                <w14:ligatures w14:val="none"/>
              </w:rPr>
            </w:pPr>
            <w:r>
              <w:rPr>
                <w14:ligatures w14:val="none"/>
              </w:rPr>
              <w:t>CMS 101, Course 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F728" w14:textId="77777777" w:rsidR="003E77C0" w:rsidRDefault="003E77C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Introduction to Contracts &amp; Contract Administration: </w:t>
            </w:r>
            <w:r>
              <w:rPr>
                <w14:ligatures w14:val="none"/>
              </w:rPr>
              <w:t>Focus on providing comprehensive knowledge on the activities necessary to manage contracts after award, ensuring successful execution and closure.</w:t>
            </w:r>
          </w:p>
          <w:p w14:paraId="78EC80B6" w14:textId="77777777" w:rsidR="003E77C0" w:rsidRDefault="003E77C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Key Learning Components:</w:t>
            </w:r>
          </w:p>
          <w:p w14:paraId="2412B563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Overview of post-award processes including contract modifications and adjustments.</w:t>
            </w:r>
          </w:p>
          <w:p w14:paraId="7CC566C3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Techniques for resolving disputes and managing contractor performance issues.</w:t>
            </w:r>
          </w:p>
          <w:p w14:paraId="3C0431D7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Ensuring compliance with contract terms and conditions throughout the contract lifecycle.</w:t>
            </w:r>
          </w:p>
          <w:p w14:paraId="07F8C745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Effective communication and documentation strategies for contract administration.</w:t>
            </w:r>
          </w:p>
        </w:tc>
      </w:tr>
      <w:tr w:rsidR="003E77C0" w14:paraId="22B44127" w14:textId="77777777" w:rsidTr="003E77C0"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8D6F" w14:textId="77777777" w:rsidR="003E77C0" w:rsidRDefault="003E77C0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A653" w14:textId="77777777" w:rsidR="003E77C0" w:rsidRDefault="003E77C0">
            <w:pPr>
              <w:rPr>
                <w:rFonts w:ascii="Aptos" w:hAnsi="Aptos" w:cs="Aptos"/>
                <w14:ligatures w14:val="none"/>
              </w:rPr>
            </w:pPr>
            <w:r>
              <w:rPr>
                <w14:ligatures w14:val="none"/>
              </w:rPr>
              <w:t>CMS 101, Course 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78A" w14:textId="77777777" w:rsidR="003E77C0" w:rsidRDefault="003E77C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Firm Fixed Price Contracts (incl. FFP Contract Closeout)</w:t>
            </w:r>
            <w:r>
              <w:rPr>
                <w14:ligatures w14:val="none"/>
              </w:rPr>
              <w:t>: Focus on the essentials of Firm Fixed Price Contracts, emphasizing contract management and administration for fixed-cost engagements.</w:t>
            </w:r>
          </w:p>
          <w:p w14:paraId="0D03E681" w14:textId="77777777" w:rsidR="003E77C0" w:rsidRDefault="003E77C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Key Learning Components:</w:t>
            </w:r>
          </w:p>
          <w:p w14:paraId="69AE8D45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Understanding the structure and implications of fixed price contracts.</w:t>
            </w:r>
          </w:p>
          <w:p w14:paraId="686E88EC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Techniques for effectively negotiating and managing scope within fixed budgets. </w:t>
            </w:r>
          </w:p>
          <w:p w14:paraId="7387C569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Strategies to mitigate financial risks and manage contract deliverables. </w:t>
            </w:r>
          </w:p>
          <w:p w14:paraId="3AAD3AC4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Best practices for performance monitoring and contract compliance. </w:t>
            </w:r>
          </w:p>
        </w:tc>
      </w:tr>
      <w:tr w:rsidR="003E77C0" w14:paraId="1F2DD273" w14:textId="77777777" w:rsidTr="003E77C0"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47BC" w14:textId="77777777" w:rsidR="003E77C0" w:rsidRDefault="003E77C0">
            <w:pPr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14:ligatures w14:val="none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FDF2" w14:textId="77777777" w:rsidR="003E77C0" w:rsidRDefault="003E77C0">
            <w:pPr>
              <w:rPr>
                <w:rFonts w:ascii="Aptos" w:hAnsi="Aptos" w:cs="Aptos"/>
                <w14:ligatures w14:val="none"/>
              </w:rPr>
            </w:pPr>
            <w:r>
              <w:rPr>
                <w14:ligatures w14:val="none"/>
              </w:rPr>
              <w:t>CMS 101, Course 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F021" w14:textId="77777777" w:rsidR="003E77C0" w:rsidRDefault="003E77C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Cost Plus Contracts (incl. CP Contract Closeout)</w:t>
            </w:r>
            <w:r>
              <w:rPr>
                <w14:ligatures w14:val="none"/>
              </w:rPr>
              <w:t>:</w:t>
            </w:r>
            <w:r>
              <w:rPr>
                <w14:ligatures w14:val="none"/>
              </w:rPr>
              <w:br/>
              <w:t>Focus on nuances of cost-reimbursement contracts, offering insights into their administration and strategic use in projects where costs are uncertain.</w:t>
            </w:r>
          </w:p>
          <w:p w14:paraId="03AAD2D8" w14:textId="77777777" w:rsidR="003E77C0" w:rsidRDefault="003E77C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Key Learning Components:</w:t>
            </w:r>
          </w:p>
          <w:p w14:paraId="4B676C6E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Differentiating among various types of cost-reimbursement contracts. </w:t>
            </w:r>
          </w:p>
          <w:p w14:paraId="59B78822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Managing uncertainties and risks associated with cost overruns. </w:t>
            </w:r>
          </w:p>
          <w:p w14:paraId="70EE67D3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>How to establish clear guidelines for allowable and allocable costs.</w:t>
            </w:r>
            <w:r>
              <w:rPr>
                <w:rFonts w:ascii="Aptos" w:hAnsi="Aptos"/>
                <w:color w:val="0D0D0D"/>
                <w:sz w:val="20"/>
                <w:szCs w:val="20"/>
              </w:rPr>
              <w:t xml:space="preserve"> </w:t>
            </w:r>
          </w:p>
          <w:p w14:paraId="051203F0" w14:textId="77777777" w:rsidR="003E77C0" w:rsidRDefault="003E77C0" w:rsidP="00224275">
            <w:pPr>
              <w:pStyle w:val="Default"/>
              <w:numPr>
                <w:ilvl w:val="0"/>
                <w:numId w:val="1"/>
              </w:numPr>
              <w:ind w:left="164" w:hanging="180"/>
              <w:rPr>
                <w:rFonts w:ascii="Aptos" w:hAnsi="Aptos"/>
                <w:color w:val="0D0D0D"/>
                <w:sz w:val="22"/>
                <w:szCs w:val="22"/>
              </w:rPr>
            </w:pPr>
            <w:r>
              <w:rPr>
                <w:rFonts w:ascii="Aptos" w:hAnsi="Aptos"/>
                <w:color w:val="0D0D0D"/>
                <w:sz w:val="22"/>
                <w:szCs w:val="22"/>
              </w:rPr>
              <w:t xml:space="preserve">Implementing effective controls and monitoring of contract performance. </w:t>
            </w:r>
          </w:p>
        </w:tc>
      </w:tr>
    </w:tbl>
    <w:p w14:paraId="47F01DB1" w14:textId="77777777" w:rsidR="003E77C0" w:rsidRDefault="003E77C0"/>
    <w:sectPr w:rsidR="003E77C0" w:rsidSect="003E77C0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58CE" w14:textId="77777777" w:rsidR="003E77C0" w:rsidRDefault="003E77C0" w:rsidP="003E77C0">
      <w:pPr>
        <w:spacing w:after="0" w:line="240" w:lineRule="auto"/>
      </w:pPr>
      <w:r>
        <w:separator/>
      </w:r>
    </w:p>
  </w:endnote>
  <w:endnote w:type="continuationSeparator" w:id="0">
    <w:p w14:paraId="1D0C7763" w14:textId="77777777" w:rsidR="003E77C0" w:rsidRDefault="003E77C0" w:rsidP="003E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C45" w14:textId="6AF53AF4" w:rsidR="003E77C0" w:rsidRDefault="003E77C0" w:rsidP="003E77C0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080"/>
      </w:tabs>
    </w:pPr>
    <w:r>
      <w:t>NSITE CMS 101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</w:r>
    <w:r w:rsidR="002B206A">
      <w:t>November</w:t>
    </w:r>
    <w:r w:rsidRPr="003E77C0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CD2D" w14:textId="77777777" w:rsidR="003E77C0" w:rsidRDefault="003E77C0" w:rsidP="003E77C0">
      <w:pPr>
        <w:spacing w:after="0" w:line="240" w:lineRule="auto"/>
      </w:pPr>
      <w:r>
        <w:separator/>
      </w:r>
    </w:p>
  </w:footnote>
  <w:footnote w:type="continuationSeparator" w:id="0">
    <w:p w14:paraId="116E3053" w14:textId="77777777" w:rsidR="003E77C0" w:rsidRDefault="003E77C0" w:rsidP="003E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23E7"/>
    <w:multiLevelType w:val="hybridMultilevel"/>
    <w:tmpl w:val="27EE2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0"/>
    <w:rsid w:val="00085C15"/>
    <w:rsid w:val="00216850"/>
    <w:rsid w:val="002560C0"/>
    <w:rsid w:val="00284688"/>
    <w:rsid w:val="002B206A"/>
    <w:rsid w:val="003E77C0"/>
    <w:rsid w:val="00724D94"/>
    <w:rsid w:val="00831798"/>
    <w:rsid w:val="008453E3"/>
    <w:rsid w:val="00D30FCE"/>
    <w:rsid w:val="00DE628E"/>
    <w:rsid w:val="00F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52B5"/>
  <w15:chartTrackingRefBased/>
  <w15:docId w15:val="{B5719A27-A6E6-4625-9B2D-2B84169D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7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7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7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7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7C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"/>
    <w:rsid w:val="003E77C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C0"/>
  </w:style>
  <w:style w:type="paragraph" w:styleId="Footer">
    <w:name w:val="footer"/>
    <w:basedOn w:val="Normal"/>
    <w:link w:val="FooterChar"/>
    <w:uiPriority w:val="99"/>
    <w:unhideWhenUsed/>
    <w:rsid w:val="003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4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Haegeli, Marianne</dc:creator>
  <cp:keywords/>
  <dc:description/>
  <cp:lastModifiedBy>Howie, Richelle</cp:lastModifiedBy>
  <cp:revision>2</cp:revision>
  <cp:lastPrinted>2024-11-22T19:32:00Z</cp:lastPrinted>
  <dcterms:created xsi:type="dcterms:W3CDTF">2024-11-25T11:27:00Z</dcterms:created>
  <dcterms:modified xsi:type="dcterms:W3CDTF">2024-11-25T11:27:00Z</dcterms:modified>
</cp:coreProperties>
</file>